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adjustRightInd w:val="0"/>
        <w:snapToGrid w:val="0"/>
        <w:spacing w:line="320" w:lineRule="atLeast"/>
        <w:ind w:firstLine="0" w:firstLineChars="0"/>
        <w:rPr>
          <w:rFonts w:ascii="黑体" w:hAnsi="黑体" w:eastAsia="黑体"/>
          <w:szCs w:val="21"/>
        </w:rPr>
      </w:pPr>
      <w:r>
        <w:rPr>
          <w:rFonts w:hint="eastAsia" w:ascii="黑体" w:hAnsi="黑体" w:eastAsia="黑体"/>
          <w:szCs w:val="21"/>
        </w:rPr>
        <w:t>五、案例分析题</w:t>
      </w:r>
    </w:p>
    <w:p>
      <w:pPr>
        <w:pStyle w:val="15"/>
        <w:numPr>
          <w:ilvl w:val="0"/>
          <w:numId w:val="1"/>
        </w:numPr>
        <w:adjustRightInd w:val="0"/>
        <w:snapToGrid w:val="0"/>
        <w:spacing w:line="320" w:lineRule="atLeast"/>
        <w:ind w:firstLineChars="0"/>
        <w:rPr>
          <w:szCs w:val="21"/>
        </w:rPr>
      </w:pPr>
      <w:r>
        <w:rPr>
          <w:rFonts w:hint="eastAsia"/>
          <w:szCs w:val="21"/>
        </w:rPr>
        <w:t>一艘</w:t>
      </w:r>
      <w:r>
        <w:rPr>
          <w:szCs w:val="21"/>
        </w:rPr>
        <w:t>300</w:t>
      </w:r>
      <w:r>
        <w:rPr>
          <w:rFonts w:hint="eastAsia"/>
          <w:szCs w:val="21"/>
        </w:rPr>
        <w:t>总吨的国内海洋拖网渔船，若该船船东不想配备滤油设备，咨询验船师，如果你是验船师，依据《国内海洋渔船法定检验技术规则（</w:t>
      </w:r>
      <w:r>
        <w:rPr>
          <w:szCs w:val="21"/>
        </w:rPr>
        <w:t>2019</w:t>
      </w:r>
      <w:r>
        <w:rPr>
          <w:rFonts w:hint="eastAsia"/>
          <w:szCs w:val="21"/>
        </w:rPr>
        <w:t>）》你如何答复船东？</w:t>
      </w:r>
    </w:p>
    <w:p>
      <w:pPr>
        <w:rPr>
          <w:szCs w:val="21"/>
        </w:rPr>
      </w:pPr>
      <w:r>
        <w:rPr>
          <w:rFonts w:hint="eastAsia"/>
          <w:szCs w:val="21"/>
        </w:rPr>
        <w:t>答案：</w:t>
      </w:r>
    </w:p>
    <w:p>
      <w:pPr>
        <w:ind w:firstLine="420" w:firstLineChars="200"/>
        <w:rPr>
          <w:szCs w:val="21"/>
        </w:rPr>
      </w:pPr>
      <w:r>
        <w:rPr>
          <w:szCs w:val="21"/>
        </w:rPr>
        <w:t>400</w:t>
      </w:r>
      <w:r>
        <w:rPr>
          <w:rFonts w:hint="eastAsia"/>
          <w:szCs w:val="21"/>
        </w:rPr>
        <w:t>总吨以下的国内海洋渔船免设滤油设备的条件如下：</w:t>
      </w:r>
    </w:p>
    <w:p>
      <w:pPr>
        <w:ind w:firstLine="420" w:firstLineChars="200"/>
        <w:rPr>
          <w:szCs w:val="21"/>
        </w:rPr>
      </w:pPr>
      <w:r>
        <w:rPr>
          <w:rFonts w:hint="eastAsia"/>
          <w:szCs w:val="21"/>
        </w:rPr>
        <w:t>（</w:t>
      </w:r>
      <w:r>
        <w:rPr>
          <w:szCs w:val="21"/>
        </w:rPr>
        <w:t>1</w:t>
      </w:r>
      <w:r>
        <w:rPr>
          <w:rFonts w:hint="eastAsia"/>
          <w:szCs w:val="21"/>
        </w:rPr>
        <w:t>）应设有适用于该船的足够容量的机舱舱底含油污水的储存柜；</w:t>
      </w:r>
    </w:p>
    <w:p>
      <w:pPr>
        <w:ind w:firstLine="420" w:firstLineChars="200"/>
        <w:rPr>
          <w:szCs w:val="21"/>
        </w:rPr>
      </w:pPr>
      <w:r>
        <w:rPr>
          <w:rFonts w:hint="eastAsia"/>
          <w:szCs w:val="21"/>
        </w:rPr>
        <w:t>（</w:t>
      </w:r>
      <w:r>
        <w:rPr>
          <w:szCs w:val="21"/>
        </w:rPr>
        <w:t>2</w:t>
      </w:r>
      <w:r>
        <w:rPr>
          <w:rFonts w:hint="eastAsia"/>
          <w:szCs w:val="21"/>
        </w:rPr>
        <w:t>）应设有对贮存柜进行清洗和将其中的残油（油泥）或含油污水排入接收设备的适当设施；</w:t>
      </w:r>
    </w:p>
    <w:p>
      <w:pPr>
        <w:ind w:firstLine="420" w:firstLineChars="200"/>
        <w:rPr>
          <w:szCs w:val="21"/>
        </w:rPr>
      </w:pPr>
      <w:r>
        <w:rPr>
          <w:rFonts w:hint="eastAsia"/>
          <w:szCs w:val="21"/>
        </w:rPr>
        <w:t>（</w:t>
      </w:r>
      <w:r>
        <w:rPr>
          <w:szCs w:val="21"/>
        </w:rPr>
        <w:t>3</w:t>
      </w:r>
      <w:r>
        <w:rPr>
          <w:rFonts w:hint="eastAsia"/>
          <w:szCs w:val="21"/>
        </w:rPr>
        <w:t>）应设有相关要求的标准排放接头；</w:t>
      </w:r>
    </w:p>
    <w:p>
      <w:pPr>
        <w:ind w:firstLine="420" w:firstLineChars="200"/>
        <w:rPr>
          <w:szCs w:val="21"/>
        </w:rPr>
      </w:pPr>
      <w:r>
        <w:rPr>
          <w:rFonts w:hint="eastAsia"/>
          <w:szCs w:val="21"/>
        </w:rPr>
        <w:t>（</w:t>
      </w:r>
      <w:r>
        <w:rPr>
          <w:szCs w:val="21"/>
        </w:rPr>
        <w:t>4</w:t>
      </w:r>
      <w:r>
        <w:rPr>
          <w:rFonts w:hint="eastAsia"/>
          <w:szCs w:val="21"/>
        </w:rPr>
        <w:t>）免除设置防油污设备的条件，应在渔船检验记录中予以载明；</w:t>
      </w:r>
    </w:p>
    <w:p>
      <w:pPr>
        <w:ind w:firstLine="420" w:firstLineChars="200"/>
        <w:rPr>
          <w:szCs w:val="21"/>
        </w:rPr>
      </w:pPr>
      <w:r>
        <w:rPr>
          <w:rFonts w:hint="eastAsia"/>
          <w:szCs w:val="21"/>
        </w:rPr>
        <w:t>（</w:t>
      </w:r>
      <w:r>
        <w:rPr>
          <w:szCs w:val="21"/>
        </w:rPr>
        <w:t>5</w:t>
      </w:r>
      <w:r>
        <w:rPr>
          <w:rFonts w:hint="eastAsia"/>
          <w:szCs w:val="21"/>
        </w:rPr>
        <w:t>）泵和管路应为固定式，如认为实际上对该船不适当，经同意可用其他有效形式代替；</w:t>
      </w:r>
    </w:p>
    <w:p>
      <w:pPr>
        <w:ind w:firstLine="420" w:firstLineChars="200"/>
        <w:rPr>
          <w:szCs w:val="21"/>
        </w:rPr>
      </w:pPr>
      <w:r>
        <w:rPr>
          <w:rFonts w:hint="eastAsia"/>
          <w:szCs w:val="21"/>
        </w:rPr>
        <w:t>（</w:t>
      </w:r>
      <w:r>
        <w:rPr>
          <w:szCs w:val="21"/>
        </w:rPr>
        <w:t>6</w:t>
      </w:r>
      <w:r>
        <w:rPr>
          <w:rFonts w:hint="eastAsia"/>
          <w:szCs w:val="21"/>
        </w:rPr>
        <w:t>）船舶停靠港或装卸站设有足够数量的接收设备。</w:t>
      </w:r>
    </w:p>
    <w:p>
      <w:pPr>
        <w:pStyle w:val="15"/>
        <w:numPr>
          <w:ilvl w:val="0"/>
          <w:numId w:val="1"/>
        </w:numPr>
        <w:adjustRightInd w:val="0"/>
        <w:snapToGrid w:val="0"/>
        <w:spacing w:line="320" w:lineRule="atLeast"/>
        <w:ind w:firstLineChars="0"/>
        <w:rPr>
          <w:szCs w:val="21"/>
        </w:rPr>
      </w:pPr>
      <w:r>
        <w:rPr>
          <w:rFonts w:hint="eastAsia"/>
          <w:szCs w:val="21"/>
        </w:rPr>
        <w:t>一艘</w:t>
      </w:r>
      <w:r>
        <w:rPr>
          <w:szCs w:val="21"/>
        </w:rPr>
        <w:t>420</w:t>
      </w:r>
      <w:r>
        <w:rPr>
          <w:rFonts w:hint="eastAsia"/>
          <w:szCs w:val="21"/>
        </w:rPr>
        <w:t>总吨的国内海洋拖网渔船，其航行作业均处于距离最近陆地</w:t>
      </w:r>
      <w:r>
        <w:rPr>
          <w:szCs w:val="21"/>
        </w:rPr>
        <w:t>3n mile</w:t>
      </w:r>
      <w:r>
        <w:rPr>
          <w:rFonts w:hint="eastAsia"/>
          <w:szCs w:val="21"/>
        </w:rPr>
        <w:t>以内，但该船未配备任何生活污水处理装置。验船师在建造检验过程中提出整改要求，船东认为验船师要求不合理，如果你是验船师，你如何跟船东解释？并说明生活污水因排放水域不同应配备哪些设备和设施。</w:t>
      </w:r>
    </w:p>
    <w:p>
      <w:pPr>
        <w:pStyle w:val="15"/>
        <w:adjustRightInd w:val="0"/>
        <w:snapToGrid w:val="0"/>
        <w:spacing w:line="320" w:lineRule="atLeast"/>
        <w:ind w:firstLine="0" w:firstLineChars="0"/>
        <w:rPr>
          <w:szCs w:val="21"/>
        </w:rPr>
      </w:pPr>
      <w:r>
        <w:rPr>
          <w:rFonts w:hint="eastAsia"/>
          <w:szCs w:val="21"/>
        </w:rPr>
        <w:t>答案：</w:t>
      </w:r>
    </w:p>
    <w:p>
      <w:pPr>
        <w:ind w:firstLine="420" w:firstLineChars="200"/>
        <w:rPr>
          <w:szCs w:val="21"/>
        </w:rPr>
      </w:pPr>
      <w:r>
        <w:rPr>
          <w:rFonts w:hint="eastAsia"/>
          <w:szCs w:val="21"/>
        </w:rPr>
        <w:t>该船大于</w:t>
      </w:r>
      <w:r>
        <w:rPr>
          <w:szCs w:val="21"/>
        </w:rPr>
        <w:t>400</w:t>
      </w:r>
      <w:r>
        <w:rPr>
          <w:rFonts w:hint="eastAsia"/>
          <w:szCs w:val="21"/>
        </w:rPr>
        <w:t>总吨，航行作业都在最近陆地</w:t>
      </w:r>
      <w:r>
        <w:rPr>
          <w:szCs w:val="21"/>
        </w:rPr>
        <w:t>3n mile</w:t>
      </w:r>
      <w:r>
        <w:rPr>
          <w:rFonts w:hint="eastAsia"/>
          <w:szCs w:val="21"/>
        </w:rPr>
        <w:t>以内，依据《国内海洋渔船法定检验技术规则（</w:t>
      </w:r>
      <w:r>
        <w:rPr>
          <w:szCs w:val="21"/>
        </w:rPr>
        <w:t>2019</w:t>
      </w:r>
      <w:r>
        <w:rPr>
          <w:rFonts w:hint="eastAsia"/>
          <w:szCs w:val="21"/>
        </w:rPr>
        <w:t>）》需要配备生活污水处理装置。</w:t>
      </w:r>
    </w:p>
    <w:p>
      <w:pPr>
        <w:ind w:firstLine="420" w:firstLineChars="200"/>
        <w:rPr>
          <w:szCs w:val="21"/>
        </w:rPr>
      </w:pPr>
      <w:r>
        <w:rPr>
          <w:rFonts w:hint="eastAsia"/>
          <w:szCs w:val="21"/>
        </w:rPr>
        <w:t>因排放水域不同应配备哪些设备和设施如下：</w:t>
      </w:r>
    </w:p>
    <w:p>
      <w:pPr>
        <w:ind w:firstLine="420" w:firstLineChars="200"/>
        <w:rPr>
          <w:szCs w:val="21"/>
        </w:rPr>
      </w:pPr>
      <w:r>
        <w:rPr>
          <w:rFonts w:hint="eastAsia"/>
          <w:szCs w:val="21"/>
        </w:rPr>
        <w:t>（</w:t>
      </w:r>
      <w:r>
        <w:rPr>
          <w:szCs w:val="21"/>
        </w:rPr>
        <w:t>1</w:t>
      </w:r>
      <w:r>
        <w:rPr>
          <w:rFonts w:hint="eastAsia"/>
          <w:szCs w:val="21"/>
        </w:rPr>
        <w:t>）在距离最近陆地</w:t>
      </w:r>
      <w:r>
        <w:rPr>
          <w:szCs w:val="21"/>
        </w:rPr>
        <w:t xml:space="preserve">3n mile </w:t>
      </w:r>
      <w:r>
        <w:rPr>
          <w:rFonts w:hint="eastAsia"/>
          <w:szCs w:val="21"/>
        </w:rPr>
        <w:t>以内排放生活污水时，应装有认可的生活污水处理装置；</w:t>
      </w:r>
    </w:p>
    <w:p>
      <w:pPr>
        <w:ind w:firstLine="420" w:firstLineChars="200"/>
        <w:rPr>
          <w:szCs w:val="21"/>
        </w:rPr>
      </w:pPr>
      <w:r>
        <w:rPr>
          <w:rFonts w:hint="eastAsia"/>
          <w:szCs w:val="21"/>
        </w:rPr>
        <w:t>（</w:t>
      </w:r>
      <w:r>
        <w:rPr>
          <w:szCs w:val="21"/>
        </w:rPr>
        <w:t>2</w:t>
      </w:r>
      <w:r>
        <w:rPr>
          <w:rFonts w:hint="eastAsia"/>
          <w:szCs w:val="21"/>
        </w:rPr>
        <w:t>）如仅需在距最近陆地</w:t>
      </w:r>
      <w:r>
        <w:rPr>
          <w:szCs w:val="21"/>
        </w:rPr>
        <w:t xml:space="preserve">3n mile </w:t>
      </w:r>
      <w:r>
        <w:rPr>
          <w:rFonts w:hint="eastAsia"/>
          <w:szCs w:val="21"/>
        </w:rPr>
        <w:t>以外排放生活污水，船舶应装有将生活污水进行打碎和消毒的认可型装置；</w:t>
      </w:r>
    </w:p>
    <w:p>
      <w:pPr>
        <w:ind w:firstLine="420" w:firstLineChars="200"/>
        <w:rPr>
          <w:szCs w:val="21"/>
        </w:rPr>
      </w:pPr>
      <w:r>
        <w:rPr>
          <w:rFonts w:hint="eastAsia"/>
          <w:szCs w:val="21"/>
        </w:rPr>
        <w:t>（</w:t>
      </w:r>
      <w:r>
        <w:rPr>
          <w:szCs w:val="21"/>
        </w:rPr>
        <w:t>3</w:t>
      </w:r>
      <w:r>
        <w:rPr>
          <w:rFonts w:hint="eastAsia"/>
          <w:szCs w:val="21"/>
        </w:rPr>
        <w:t>）如仅需在距最近陆地</w:t>
      </w:r>
      <w:r>
        <w:rPr>
          <w:szCs w:val="21"/>
        </w:rPr>
        <w:t xml:space="preserve">12n mile </w:t>
      </w:r>
      <w:r>
        <w:rPr>
          <w:rFonts w:hint="eastAsia"/>
          <w:szCs w:val="21"/>
        </w:rPr>
        <w:t>以外排放生活污水，可只设集污舱柜，该舱柜应考虑该船在营运期间船上人数以及其他有关的因素具有足够储存全部生活污水的容量。集污舱柜应设有观察生活污水液位的装置；</w:t>
      </w:r>
    </w:p>
    <w:p>
      <w:pPr>
        <w:ind w:firstLine="420" w:firstLineChars="200"/>
        <w:rPr>
          <w:szCs w:val="21"/>
        </w:rPr>
      </w:pPr>
      <w:r>
        <w:rPr>
          <w:rFonts w:hint="eastAsia"/>
          <w:szCs w:val="21"/>
        </w:rPr>
        <w:t>（</w:t>
      </w:r>
      <w:r>
        <w:rPr>
          <w:szCs w:val="21"/>
        </w:rPr>
        <w:t>4</w:t>
      </w:r>
      <w:r>
        <w:rPr>
          <w:rFonts w:hint="eastAsia"/>
          <w:szCs w:val="21"/>
        </w:rPr>
        <w:t>）船上应设有便于将生活污水排往接收设备的管路，同时该管路上应装有按本法规要求的生活污水标准排放接头。</w:t>
      </w:r>
    </w:p>
    <w:p>
      <w:pPr>
        <w:pStyle w:val="15"/>
        <w:numPr>
          <w:ilvl w:val="0"/>
          <w:numId w:val="1"/>
        </w:numPr>
        <w:adjustRightInd w:val="0"/>
        <w:snapToGrid w:val="0"/>
        <w:spacing w:line="320" w:lineRule="atLeast"/>
        <w:ind w:firstLineChars="0"/>
        <w:rPr>
          <w:szCs w:val="21"/>
        </w:rPr>
      </w:pPr>
      <w:r>
        <w:rPr>
          <w:rFonts w:hint="eastAsia"/>
          <w:szCs w:val="21"/>
        </w:rPr>
        <w:t>一艘船长</w:t>
      </w:r>
      <w:r>
        <w:rPr>
          <w:szCs w:val="21"/>
        </w:rPr>
        <w:t>11</w:t>
      </w:r>
      <w:r>
        <w:rPr>
          <w:rFonts w:hint="eastAsia"/>
          <w:szCs w:val="21"/>
          <w:lang w:val="en-US" w:eastAsia="zh-CN"/>
        </w:rPr>
        <w:t>.00</w:t>
      </w:r>
      <w:r>
        <w:rPr>
          <w:szCs w:val="21"/>
        </w:rPr>
        <w:t>m</w:t>
      </w:r>
      <w:r>
        <w:rPr>
          <w:rFonts w:hint="eastAsia"/>
          <w:szCs w:val="21"/>
        </w:rPr>
        <w:t>沿海刺网渔船，该船只配备了</w:t>
      </w:r>
      <w:r>
        <w:rPr>
          <w:szCs w:val="21"/>
        </w:rPr>
        <w:t>1</w:t>
      </w:r>
      <w:r>
        <w:rPr>
          <w:rFonts w:hint="eastAsia"/>
          <w:szCs w:val="21"/>
        </w:rPr>
        <w:t>具灭火器在驾驶室，船东认为该船很小，有</w:t>
      </w:r>
      <w:r>
        <w:rPr>
          <w:szCs w:val="21"/>
        </w:rPr>
        <w:t>1</w:t>
      </w:r>
      <w:r>
        <w:rPr>
          <w:rFonts w:hint="eastAsia"/>
          <w:szCs w:val="21"/>
        </w:rPr>
        <w:t>具灭火器足够用了，船东理解正确吗，简要回答该艘渔船应配备哪些消防设备。</w:t>
      </w:r>
    </w:p>
    <w:p>
      <w:pPr>
        <w:pStyle w:val="15"/>
        <w:adjustRightInd w:val="0"/>
        <w:snapToGrid w:val="0"/>
        <w:spacing w:line="320" w:lineRule="atLeast"/>
        <w:ind w:firstLine="0" w:firstLineChars="0"/>
        <w:rPr>
          <w:szCs w:val="21"/>
        </w:rPr>
      </w:pPr>
      <w:r>
        <w:rPr>
          <w:rFonts w:hint="eastAsia"/>
          <w:szCs w:val="21"/>
        </w:rPr>
        <w:t>答案：</w:t>
      </w:r>
    </w:p>
    <w:p>
      <w:pPr>
        <w:ind w:firstLine="420" w:firstLineChars="200"/>
        <w:rPr>
          <w:szCs w:val="21"/>
        </w:rPr>
      </w:pPr>
      <w:r>
        <w:rPr>
          <w:rFonts w:hint="eastAsia"/>
          <w:szCs w:val="21"/>
        </w:rPr>
        <w:t>船东理解不正确。该艘渔船应配备：</w:t>
      </w:r>
    </w:p>
    <w:p>
      <w:pPr>
        <w:ind w:firstLine="420" w:firstLineChars="200"/>
        <w:rPr>
          <w:szCs w:val="21"/>
        </w:rPr>
      </w:pPr>
      <w:r>
        <w:rPr>
          <w:rFonts w:hint="eastAsia"/>
          <w:szCs w:val="21"/>
        </w:rPr>
        <w:t>（</w:t>
      </w:r>
      <w:r>
        <w:rPr>
          <w:szCs w:val="21"/>
        </w:rPr>
        <w:t>1</w:t>
      </w:r>
      <w:r>
        <w:rPr>
          <w:rFonts w:hint="eastAsia"/>
          <w:szCs w:val="21"/>
        </w:rPr>
        <w:t>）每艘船舶至少应配备</w:t>
      </w:r>
      <w:r>
        <w:rPr>
          <w:szCs w:val="21"/>
        </w:rPr>
        <w:t>2</w:t>
      </w:r>
      <w:r>
        <w:rPr>
          <w:rFonts w:hint="eastAsia"/>
          <w:szCs w:val="21"/>
        </w:rPr>
        <w:t>具手提灭火器；</w:t>
      </w:r>
    </w:p>
    <w:p>
      <w:pPr>
        <w:ind w:firstLine="420" w:firstLineChars="200"/>
        <w:rPr>
          <w:szCs w:val="21"/>
        </w:rPr>
      </w:pPr>
      <w:r>
        <w:rPr>
          <w:rFonts w:hint="eastAsia"/>
          <w:szCs w:val="21"/>
        </w:rPr>
        <w:t>（</w:t>
      </w:r>
      <w:r>
        <w:rPr>
          <w:szCs w:val="21"/>
        </w:rPr>
        <w:t>2</w:t>
      </w:r>
      <w:r>
        <w:rPr>
          <w:rFonts w:hint="eastAsia"/>
          <w:szCs w:val="21"/>
        </w:rPr>
        <w:t>）在每一易失火区域均应至少备有一具合适的灭火器；</w:t>
      </w:r>
    </w:p>
    <w:p>
      <w:pPr>
        <w:ind w:firstLine="420" w:firstLineChars="200"/>
        <w:rPr>
          <w:szCs w:val="21"/>
        </w:rPr>
      </w:pPr>
      <w:r>
        <w:rPr>
          <w:rFonts w:hint="eastAsia"/>
          <w:szCs w:val="21"/>
        </w:rPr>
        <w:t>（</w:t>
      </w:r>
      <w:r>
        <w:rPr>
          <w:szCs w:val="21"/>
        </w:rPr>
        <w:t>3</w:t>
      </w:r>
      <w:r>
        <w:rPr>
          <w:rFonts w:hint="eastAsia"/>
          <w:szCs w:val="21"/>
        </w:rPr>
        <w:t>）应至少配备</w:t>
      </w:r>
      <w:r>
        <w:rPr>
          <w:szCs w:val="21"/>
        </w:rPr>
        <w:t>1</w:t>
      </w:r>
      <w:r>
        <w:rPr>
          <w:rFonts w:hint="eastAsia"/>
          <w:szCs w:val="21"/>
        </w:rPr>
        <w:t>个带适当长度绳子的消防水桶；</w:t>
      </w:r>
      <w:r>
        <w:rPr>
          <w:szCs w:val="21"/>
        </w:rPr>
        <w:t>1</w:t>
      </w:r>
      <w:r>
        <w:rPr>
          <w:rFonts w:hint="eastAsia"/>
          <w:szCs w:val="21"/>
        </w:rPr>
        <w:t>把太平斧，消防水桶和太平斧可分别用生活用水桶和生活用斧代替。</w:t>
      </w:r>
    </w:p>
    <w:p>
      <w:pPr>
        <w:pStyle w:val="15"/>
        <w:numPr>
          <w:ilvl w:val="0"/>
          <w:numId w:val="1"/>
        </w:numPr>
        <w:adjustRightInd w:val="0"/>
        <w:snapToGrid w:val="0"/>
        <w:spacing w:line="320" w:lineRule="atLeast"/>
        <w:ind w:firstLineChars="0"/>
        <w:rPr>
          <w:szCs w:val="21"/>
        </w:rPr>
      </w:pPr>
      <w:r>
        <w:rPr>
          <w:rFonts w:hint="eastAsia"/>
          <w:szCs w:val="21"/>
        </w:rPr>
        <w:t>一艘船长</w:t>
      </w:r>
      <w:r>
        <w:rPr>
          <w:szCs w:val="21"/>
        </w:rPr>
        <w:t>28</w:t>
      </w:r>
      <w:r>
        <w:rPr>
          <w:rFonts w:hint="eastAsia"/>
          <w:szCs w:val="21"/>
          <w:lang w:val="en-US" w:eastAsia="zh-CN"/>
        </w:rPr>
        <w:t>.00</w:t>
      </w:r>
      <w:r>
        <w:rPr>
          <w:szCs w:val="21"/>
        </w:rPr>
        <w:t>m</w:t>
      </w:r>
      <w:r>
        <w:rPr>
          <w:rFonts w:hint="eastAsia"/>
          <w:szCs w:val="21"/>
        </w:rPr>
        <w:t>国内海洋渔</w:t>
      </w:r>
      <w:bookmarkStart w:id="0" w:name="_GoBack"/>
      <w:bookmarkEnd w:id="0"/>
      <w:r>
        <w:rPr>
          <w:rFonts w:hint="eastAsia"/>
          <w:szCs w:val="21"/>
        </w:rPr>
        <w:t>船，其主机采用压缩空气起动。该船配备了</w:t>
      </w:r>
      <w:r>
        <w:rPr>
          <w:szCs w:val="21"/>
        </w:rPr>
        <w:t>1</w:t>
      </w:r>
      <w:r>
        <w:rPr>
          <w:rFonts w:hint="eastAsia"/>
          <w:szCs w:val="21"/>
        </w:rPr>
        <w:t>台空压机和</w:t>
      </w:r>
      <w:r>
        <w:rPr>
          <w:szCs w:val="21"/>
        </w:rPr>
        <w:t>1</w:t>
      </w:r>
      <w:r>
        <w:rPr>
          <w:rFonts w:hint="eastAsia"/>
          <w:szCs w:val="21"/>
        </w:rPr>
        <w:t>只空气瓶。验船师在建造检验过程中提出整改意见，要求将空压机和空气瓶均增配至</w:t>
      </w:r>
      <w:r>
        <w:rPr>
          <w:szCs w:val="21"/>
        </w:rPr>
        <w:t>2</w:t>
      </w:r>
      <w:r>
        <w:rPr>
          <w:rFonts w:hint="eastAsia"/>
          <w:szCs w:val="21"/>
        </w:rPr>
        <w:t>个。船东认为不合理，提出质疑，如果你是验船师该如何跟船东解释？</w:t>
      </w:r>
    </w:p>
    <w:p>
      <w:pPr>
        <w:pStyle w:val="15"/>
        <w:adjustRightInd w:val="0"/>
        <w:snapToGrid w:val="0"/>
        <w:spacing w:line="320" w:lineRule="atLeast"/>
        <w:ind w:firstLine="0" w:firstLineChars="0"/>
        <w:rPr>
          <w:szCs w:val="21"/>
        </w:rPr>
      </w:pPr>
      <w:r>
        <w:rPr>
          <w:rFonts w:hint="eastAsia"/>
          <w:szCs w:val="21"/>
        </w:rPr>
        <w:t>答案：</w:t>
      </w:r>
    </w:p>
    <w:p>
      <w:pPr>
        <w:ind w:firstLine="420" w:firstLineChars="200"/>
        <w:rPr>
          <w:szCs w:val="21"/>
        </w:rPr>
      </w:pPr>
      <w:r>
        <w:rPr>
          <w:rFonts w:hint="eastAsia"/>
          <w:szCs w:val="21"/>
        </w:rPr>
        <w:t>依据《国内海洋渔船法定检验技术规则（</w:t>
      </w:r>
      <w:r>
        <w:rPr>
          <w:szCs w:val="21"/>
        </w:rPr>
        <w:t>2019</w:t>
      </w:r>
      <w:r>
        <w:rPr>
          <w:rFonts w:hint="eastAsia"/>
          <w:szCs w:val="21"/>
        </w:rPr>
        <w:t>）》规定，主机采用压缩空气起动时，空气压缩机和启动空气瓶的数量应不少于</w:t>
      </w:r>
      <w:r>
        <w:rPr>
          <w:szCs w:val="21"/>
        </w:rPr>
        <w:t>2</w:t>
      </w:r>
      <w:r>
        <w:rPr>
          <w:rFonts w:hint="eastAsia"/>
          <w:szCs w:val="21"/>
        </w:rPr>
        <w:t>个。船长小于</w:t>
      </w:r>
      <w:r>
        <w:rPr>
          <w:szCs w:val="21"/>
        </w:rPr>
        <w:t>24m</w:t>
      </w:r>
      <w:r>
        <w:rPr>
          <w:rFonts w:hint="eastAsia"/>
          <w:szCs w:val="21"/>
        </w:rPr>
        <w:t>的船舶，可仅设</w:t>
      </w:r>
      <w:r>
        <w:rPr>
          <w:szCs w:val="21"/>
        </w:rPr>
        <w:t>1</w:t>
      </w:r>
      <w:r>
        <w:rPr>
          <w:rFonts w:hint="eastAsia"/>
          <w:szCs w:val="21"/>
        </w:rPr>
        <w:t>个符合容量要求的空气瓶。该船船长为</w:t>
      </w:r>
      <w:r>
        <w:rPr>
          <w:szCs w:val="21"/>
        </w:rPr>
        <w:t>28m</w:t>
      </w:r>
      <w:r>
        <w:rPr>
          <w:rFonts w:hint="eastAsia"/>
          <w:szCs w:val="21"/>
        </w:rPr>
        <w:t>，因此需要配备</w:t>
      </w:r>
      <w:r>
        <w:rPr>
          <w:szCs w:val="21"/>
        </w:rPr>
        <w:t>2</w:t>
      </w:r>
      <w:r>
        <w:rPr>
          <w:rFonts w:hint="eastAsia"/>
          <w:szCs w:val="21"/>
        </w:rPr>
        <w:t>台空压机和</w:t>
      </w:r>
      <w:r>
        <w:rPr>
          <w:szCs w:val="21"/>
        </w:rPr>
        <w:t>2</w:t>
      </w:r>
      <w:r>
        <w:rPr>
          <w:rFonts w:hint="eastAsia"/>
          <w:szCs w:val="21"/>
        </w:rPr>
        <w:t>个空气瓶。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A738E"/>
    <w:multiLevelType w:val="multilevel"/>
    <w:tmpl w:val="1F0A738E"/>
    <w:lvl w:ilvl="0" w:tentative="0">
      <w:start w:val="1"/>
      <w:numFmt w:val="decimal"/>
      <w:suff w:val="space"/>
      <w:lvlText w:val="%1."/>
      <w:lvlJc w:val="left"/>
      <w:pPr>
        <w:ind w:left="0" w:firstLine="0"/>
      </w:pPr>
      <w:rPr>
        <w:rFonts w:hint="eastAsia"/>
      </w:rPr>
    </w:lvl>
    <w:lvl w:ilvl="1" w:tentative="0">
      <w:start w:val="1"/>
      <w:numFmt w:val="decimal"/>
      <w:lvlText w:val="（%2）"/>
      <w:lvlJc w:val="left"/>
      <w:pPr>
        <w:ind w:left="1140" w:hanging="720"/>
      </w:pPr>
      <w:rPr>
        <w:lang w:val="en-U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07287"/>
    <w:rsid w:val="00036D17"/>
    <w:rsid w:val="0007050F"/>
    <w:rsid w:val="000B7380"/>
    <w:rsid w:val="000C2DD6"/>
    <w:rsid w:val="000C3A9E"/>
    <w:rsid w:val="000D36CC"/>
    <w:rsid w:val="000D4CAA"/>
    <w:rsid w:val="000E27D4"/>
    <w:rsid w:val="00122DAE"/>
    <w:rsid w:val="00153C28"/>
    <w:rsid w:val="00180A46"/>
    <w:rsid w:val="00190AE5"/>
    <w:rsid w:val="00193807"/>
    <w:rsid w:val="001B5394"/>
    <w:rsid w:val="001C46B4"/>
    <w:rsid w:val="001C5D2C"/>
    <w:rsid w:val="001D7D96"/>
    <w:rsid w:val="002B647A"/>
    <w:rsid w:val="00342334"/>
    <w:rsid w:val="00351531"/>
    <w:rsid w:val="00387ABB"/>
    <w:rsid w:val="00395E03"/>
    <w:rsid w:val="003B3D79"/>
    <w:rsid w:val="0040134A"/>
    <w:rsid w:val="00447C7E"/>
    <w:rsid w:val="0046534E"/>
    <w:rsid w:val="00480DB8"/>
    <w:rsid w:val="004B7B9A"/>
    <w:rsid w:val="004E37D8"/>
    <w:rsid w:val="004F674A"/>
    <w:rsid w:val="00513434"/>
    <w:rsid w:val="00535D43"/>
    <w:rsid w:val="0054745D"/>
    <w:rsid w:val="005543EF"/>
    <w:rsid w:val="005D66B6"/>
    <w:rsid w:val="00623C8D"/>
    <w:rsid w:val="00637291"/>
    <w:rsid w:val="00643E68"/>
    <w:rsid w:val="006445E7"/>
    <w:rsid w:val="00677B1B"/>
    <w:rsid w:val="00740480"/>
    <w:rsid w:val="00766AD5"/>
    <w:rsid w:val="007761EC"/>
    <w:rsid w:val="007B70EC"/>
    <w:rsid w:val="007C19A0"/>
    <w:rsid w:val="00857062"/>
    <w:rsid w:val="00861E52"/>
    <w:rsid w:val="0091391E"/>
    <w:rsid w:val="0092324B"/>
    <w:rsid w:val="0092378E"/>
    <w:rsid w:val="00923EDF"/>
    <w:rsid w:val="00925B4D"/>
    <w:rsid w:val="00932E96"/>
    <w:rsid w:val="009375CB"/>
    <w:rsid w:val="0094421C"/>
    <w:rsid w:val="0095201D"/>
    <w:rsid w:val="00972CB2"/>
    <w:rsid w:val="00982D3E"/>
    <w:rsid w:val="009C6D4A"/>
    <w:rsid w:val="009D6CBA"/>
    <w:rsid w:val="009E1028"/>
    <w:rsid w:val="00A0374E"/>
    <w:rsid w:val="00A20551"/>
    <w:rsid w:val="00A23976"/>
    <w:rsid w:val="00A40453"/>
    <w:rsid w:val="00AA60A6"/>
    <w:rsid w:val="00AC7817"/>
    <w:rsid w:val="00AD18AD"/>
    <w:rsid w:val="00B0088A"/>
    <w:rsid w:val="00B5500B"/>
    <w:rsid w:val="00BA27AC"/>
    <w:rsid w:val="00BD2F71"/>
    <w:rsid w:val="00C15A9B"/>
    <w:rsid w:val="00C84AFA"/>
    <w:rsid w:val="00C919B2"/>
    <w:rsid w:val="00CB56C8"/>
    <w:rsid w:val="00CC7D83"/>
    <w:rsid w:val="00D219B7"/>
    <w:rsid w:val="00D45971"/>
    <w:rsid w:val="00D616B9"/>
    <w:rsid w:val="00D828BD"/>
    <w:rsid w:val="00D86000"/>
    <w:rsid w:val="00D90B74"/>
    <w:rsid w:val="00DA3C20"/>
    <w:rsid w:val="00DD011C"/>
    <w:rsid w:val="00DD07F3"/>
    <w:rsid w:val="00DE5020"/>
    <w:rsid w:val="00DF330E"/>
    <w:rsid w:val="00E54C06"/>
    <w:rsid w:val="00E6146A"/>
    <w:rsid w:val="00EA5AD8"/>
    <w:rsid w:val="00EB6B83"/>
    <w:rsid w:val="00F540DD"/>
    <w:rsid w:val="00FE13C1"/>
    <w:rsid w:val="00FF6FDD"/>
    <w:rsid w:val="3604285E"/>
    <w:rsid w:val="4A721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Plain Text"/>
    <w:basedOn w:val="1"/>
    <w:link w:val="17"/>
    <w:semiHidden/>
    <w:unhideWhenUsed/>
    <w:qFormat/>
    <w:uiPriority w:val="0"/>
    <w:rPr>
      <w:rFonts w:ascii="宋体" w:hAnsi="Courier New" w:eastAsiaTheme="minorEastAsia" w:cstheme="minorBidi"/>
      <w:szCs w:val="22"/>
    </w:rPr>
  </w:style>
  <w:style w:type="paragraph" w:styleId="4">
    <w:name w:val="Balloon Text"/>
    <w:basedOn w:val="1"/>
    <w:link w:val="21"/>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0"/>
    <w:semiHidden/>
    <w:unhideWhenUsed/>
    <w:qFormat/>
    <w:uiPriority w:val="99"/>
    <w:rPr>
      <w:b/>
      <w:bCs/>
    </w:rPr>
  </w:style>
  <w:style w:type="character" w:styleId="10">
    <w:name w:val="FollowedHyperlink"/>
    <w:basedOn w:val="9"/>
    <w:semiHidden/>
    <w:unhideWhenUsed/>
    <w:qFormat/>
    <w:uiPriority w:val="99"/>
    <w:rPr>
      <w:color w:val="954F72" w:themeColor="followedHyperlink"/>
      <w:u w:val="single"/>
      <w14:textFill>
        <w14:solidFill>
          <w14:schemeClr w14:val="folHlink"/>
        </w14:solidFill>
      </w14:textFill>
    </w:rPr>
  </w:style>
  <w:style w:type="character" w:styleId="11">
    <w:name w:val="Hyperlink"/>
    <w:qFormat/>
    <w:uiPriority w:val="0"/>
    <w:rPr>
      <w:color w:val="0000FF"/>
      <w:szCs w:val="20"/>
      <w:u w:val="single"/>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6"/>
    <w:qFormat/>
    <w:uiPriority w:val="99"/>
    <w:rPr>
      <w:sz w:val="18"/>
      <w:szCs w:val="18"/>
    </w:rPr>
  </w:style>
  <w:style w:type="character" w:customStyle="1" w:styleId="14">
    <w:name w:val="页脚 字符"/>
    <w:basedOn w:val="9"/>
    <w:link w:val="5"/>
    <w:uiPriority w:val="99"/>
    <w:rPr>
      <w:sz w:val="18"/>
      <w:szCs w:val="18"/>
    </w:rPr>
  </w:style>
  <w:style w:type="paragraph" w:styleId="15">
    <w:name w:val="List Paragraph"/>
    <w:basedOn w:val="1"/>
    <w:qFormat/>
    <w:uiPriority w:val="34"/>
    <w:pPr>
      <w:ind w:firstLine="420" w:firstLineChars="200"/>
    </w:pPr>
  </w:style>
  <w:style w:type="paragraph" w:customStyle="1" w:styleId="16">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7">
    <w:name w:val="纯文本 字符"/>
    <w:basedOn w:val="9"/>
    <w:link w:val="3"/>
    <w:semiHidden/>
    <w:qFormat/>
    <w:uiPriority w:val="0"/>
    <w:rPr>
      <w:rFonts w:ascii="宋体" w:hAnsi="Courier New"/>
    </w:rPr>
  </w:style>
  <w:style w:type="character" w:customStyle="1" w:styleId="18">
    <w:name w:val="纯文本 字符1"/>
    <w:basedOn w:val="9"/>
    <w:semiHidden/>
    <w:qFormat/>
    <w:uiPriority w:val="99"/>
    <w:rPr>
      <w:rFonts w:hint="eastAsia" w:hAnsi="Courier New" w:eastAsia="等线" w:cs="Courier New" w:asciiTheme="minorEastAsia"/>
      <w:szCs w:val="24"/>
    </w:rPr>
  </w:style>
  <w:style w:type="character" w:customStyle="1" w:styleId="19">
    <w:name w:val="批注文字 字符"/>
    <w:basedOn w:val="9"/>
    <w:link w:val="2"/>
    <w:semiHidden/>
    <w:qFormat/>
    <w:uiPriority w:val="99"/>
    <w:rPr>
      <w:rFonts w:ascii="Times New Roman" w:hAnsi="Times New Roman" w:eastAsia="宋体" w:cs="Times New Roman"/>
      <w:szCs w:val="24"/>
    </w:rPr>
  </w:style>
  <w:style w:type="character" w:customStyle="1" w:styleId="20">
    <w:name w:val="批注主题 字符"/>
    <w:basedOn w:val="19"/>
    <w:link w:val="7"/>
    <w:semiHidden/>
    <w:qFormat/>
    <w:uiPriority w:val="99"/>
    <w:rPr>
      <w:rFonts w:ascii="Times New Roman" w:hAnsi="Times New Roman" w:eastAsia="宋体" w:cs="Times New Roman"/>
      <w:b/>
      <w:bCs/>
      <w:szCs w:val="24"/>
    </w:rPr>
  </w:style>
  <w:style w:type="character" w:customStyle="1" w:styleId="21">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Pages>
  <Words>1130</Words>
  <Characters>1176</Characters>
  <Lines>8</Lines>
  <Paragraphs>2</Paragraphs>
  <TotalTime>530</TotalTime>
  <ScaleCrop>false</ScaleCrop>
  <LinksUpToDate>false</LinksUpToDate>
  <CharactersWithSpaces>1184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2023-09-02T08:04:34Z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BD9725698D9A48F2B8249D8F4D9DCE43_12</vt:lpwstr>
  </property>
</Properties>
</file>